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GLASS 250m LAI products in the upper reaches of Yangtze River in China (2001-2020)</w:t>
      </w:r>
    </w:p>
    <w:p>
      <w:r>
        <w:rPr>
          <w:sz w:val="32"/>
        </w:rPr>
        <w:t>1、Description</w:t>
      </w:r>
    </w:p>
    <w:p>
      <w:pPr>
        <w:ind w:firstLine="432"/>
      </w:pPr>
      <w:r>
        <w:rPr>
          <w:sz w:val="22"/>
        </w:rPr>
        <w:t>Leaf Area Index (LAI) is a basic variable reflecting vegetation growth in the terrestrial ecosystem, and plays an important role in carbon cycle, climate model, terrestrial ecosystem simulation and vegetation change monitoring. At present, there are many medium resolution global LAI products in the world, including MODIS, GEOV, GLASS LAI, etc., but they have limitations such as time and space discontinuity, product time span, accuracy, etc. Based on MODIS surface reflectance data, Dr. Ma Han of Professor Liang Shunlin's team generated GLASS Version 6 (V6) 250m leaf area index. This product overcomes the problems of low LAI quality and spatiotemporal discontinuity in long-term cloud or snow covered areas. It is a global LAI product with the highest spatial resolution and long time series.</w:t>
      </w:r>
    </w:p>
    <w:p>
      <w:r>
        <w:rPr>
          <w:sz w:val="32"/>
        </w:rPr>
        <w:t>2、Keywords</w:t>
      </w:r>
    </w:p>
    <w:p>
      <w:pPr>
        <w:ind w:left="432"/>
      </w:pPr>
      <w:r>
        <w:rPr>
          <w:sz w:val="22"/>
        </w:rPr>
        <w:t>Theme：</w:t>
      </w:r>
      <w:r>
        <w:rPr>
          <w:sz w:val="22"/>
        </w:rPr>
        <w:t>Remote Sensing Technology</w:t>
      </w:r>
      <w:r>
        <w:t>,</w:t>
      </w:r>
      <w:r>
        <w:rPr>
          <w:sz w:val="22"/>
        </w:rPr>
        <w:t>Terrestrial Surface Remote Sensing</w:t>
        <w:br/>
      </w:r>
      <w:r>
        <w:rPr>
          <w:sz w:val="22"/>
        </w:rPr>
        <w:t>Discipline：</w:t>
      </w:r>
      <w:r>
        <w:rPr>
          <w:sz w:val="22"/>
        </w:rPr>
        <w:t>Terrestrial Surface</w:t>
      </w:r>
      <w:r>
        <w:t>,</w:t>
      </w:r>
      <w:r>
        <w:rPr>
          <w:sz w:val="22"/>
        </w:rPr>
        <w:t>Remote Sensing Technology</w:t>
        <w:br/>
      </w:r>
      <w:r>
        <w:rPr>
          <w:sz w:val="22"/>
        </w:rPr>
        <w:t>Places：</w:t>
      </w:r>
      <w:r>
        <w:rPr>
          <w:sz w:val="22"/>
        </w:rPr>
        <w:t>Southwest China</w:t>
        <w:br/>
      </w:r>
      <w:r>
        <w:rPr>
          <w:sz w:val="22"/>
        </w:rPr>
        <w:t>Time：</w:t>
      </w:r>
      <w:r>
        <w:rPr>
          <w:sz w:val="22"/>
        </w:rPr>
        <w:t>2001-01-01 to 2020-12-31</w:t>
      </w:r>
    </w:p>
    <w:p>
      <w:r>
        <w:rPr>
          <w:sz w:val="32"/>
        </w:rPr>
        <w:t>3、Data details</w:t>
      </w:r>
    </w:p>
    <w:p>
      <w:pPr>
        <w:ind w:left="432"/>
      </w:pPr>
      <w:r>
        <w:rPr>
          <w:sz w:val="22"/>
        </w:rPr>
        <w:t>1.Scale：None</w:t>
      </w:r>
    </w:p>
    <w:p>
      <w:pPr>
        <w:ind w:left="432"/>
      </w:pPr>
      <w:r>
        <w:rPr>
          <w:sz w:val="22"/>
        </w:rPr>
        <w:t>2.Projection：UTM</w:t>
      </w:r>
    </w:p>
    <w:p>
      <w:pPr>
        <w:ind w:left="432"/>
      </w:pPr>
      <w:r>
        <w:rPr>
          <w:sz w:val="22"/>
        </w:rPr>
        <w:t>3.Filesize：278528.0MB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2000-12-31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LIANG   Shunlin . GLASS 250m LAI products in the upper reaches of Yangtze River in China (2001-2020).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LIANG   Shunlin </w:t>
        <w:br/>
      </w:r>
      <w:r>
        <w:rPr>
          <w:sz w:val="22"/>
        </w:rPr>
        <w:t xml:space="preserve">unit: </w:t>
      </w:r>
      <w:r>
        <w:rPr>
          <w:sz w:val="22"/>
        </w:rPr>
        <w:t>Department of Geographical Sciences, University of Maryland</w:t>
        <w:br/>
      </w:r>
      <w:r>
        <w:rPr>
          <w:sz w:val="22"/>
        </w:rPr>
        <w:t xml:space="preserve">email: </w:t>
      </w:r>
      <w:r>
        <w:rPr>
          <w:sz w:val="22"/>
        </w:rPr>
        <w:t>sliang@umd.edu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