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30m-resolution GLC in the upper reaches of the Yangtze River and southwest China_ 30 Land cover data (2015)</w:t>
      </w:r>
    </w:p>
    <w:p>
      <w:r>
        <w:rPr>
          <w:sz w:val="32"/>
        </w:rPr>
        <w:t>1、Description</w:t>
      </w:r>
    </w:p>
    <w:p>
      <w:pPr>
        <w:ind w:firstLine="432"/>
      </w:pPr>
      <w:r>
        <w:rPr>
          <w:sz w:val="22"/>
        </w:rPr>
        <w:t>Since the reform and opening up, the rapid development of China's economy has had a profound impact on land use patterns. At the same time, China has a complex natural environment background and a vast land area. Its land use change has not only had an important impact on national development, but also on global environmental change. In order to restore and reconstruct the modern process of land use change in China, and better predict and forecast the trend of land use change, the Chinese Academy of Sciences has built a national scale 1:10 multi period land use/land cover thematic database based on the national resources and environment database, with the Landsat remote sensing image data of the United States as the main information source and through manual visual interpretation. The remote sensing monitoring database of China's land use status, tailored in 2015, is a national scale 1:10 scale land use/land cover thematic database with an accuracy of 30 meters, using Landsat remote sensing images of the United States as the main information source and through manual visual interpretation. The data are classified into six categories: cultivated land, forest land, grassland, water area, construction land and unused land. The second level is further divided into 25 types on the basis of the first level.</w:t>
      </w:r>
    </w:p>
    <w:p>
      <w:r>
        <w:rPr>
          <w:sz w:val="32"/>
        </w:rPr>
        <w:t>2、Keywords</w:t>
      </w:r>
    </w:p>
    <w:p>
      <w:pPr>
        <w:ind w:left="432"/>
      </w:pPr>
      <w:r>
        <w:rPr>
          <w:sz w:val="22"/>
        </w:rPr>
        <w:t>Theme：</w:t>
      </w:r>
      <w:r>
        <w:rPr>
          <w:sz w:val="22"/>
        </w:rPr>
        <w:t>Land cover</w:t>
      </w:r>
      <w:r>
        <w:t>,</w:t>
      </w:r>
      <w:r>
        <w:rPr>
          <w:sz w:val="22"/>
        </w:rPr>
        <w:t>Terrestrial Surface Remote Sensing</w:t>
        <w:br/>
      </w:r>
      <w:r>
        <w:rPr>
          <w:sz w:val="22"/>
        </w:rPr>
        <w:t>Discipline：</w:t>
      </w:r>
      <w:r>
        <w:rPr>
          <w:sz w:val="22"/>
        </w:rPr>
        <w:t>Terrestrial Surface</w:t>
        <w:br/>
      </w:r>
      <w:r>
        <w:rPr>
          <w:sz w:val="22"/>
        </w:rPr>
        <w:t>Places：</w:t>
      </w:r>
      <w:r>
        <w:rPr>
          <w:sz w:val="22"/>
        </w:rPr>
        <w:t>Southwest China</w:t>
      </w:r>
      <w:r>
        <w:t xml:space="preserve">, </w:t>
      </w:r>
      <w:r>
        <w:rPr>
          <w:sz w:val="22"/>
        </w:rPr>
        <w:t>the upper Yangtze river</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XU Xinliang. 30m-resolution GLC in the upper reaches of the Yangtze River and southwest China_ 30 Land cover data (2015). Upper Yangtze River Scientific Data Center, doi:10.12078/2018070201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