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LPDR Version 2 Vegetation Optical Depth Data Set in Southwest China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LPDR uses τ-ω The model calculates VOD from TB obtained by Advanced Microwave Scanning Radiometer Earth Observation System (AMSR-E) instrument on NASA Aqua satellite and Advanced Microwave Scanning Radiometer 2 (AMSR2) sensor on JAXA GCOM-W1 satellite in X-band (10.7 GHz) under H and V polarization. This data provides long-term (June 2002 to December 2021) global key environmental observation records with a spatial resolution of 25  km, the time resolution is 1 day, and the data format is EASE_ Grid。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Plant phenology</w:t>
      </w:r>
      <w:r>
        <w:t>,</w:t>
      </w:r>
      <w:r>
        <w:rPr>
          <w:sz w:val="22"/>
        </w:rPr>
        <w:t>Vegetation dynamics</w:t>
      </w:r>
      <w:r>
        <w:t>,</w:t>
      </w:r>
      <w:r>
        <w:rPr>
          <w:sz w:val="22"/>
        </w:rPr>
        <w:t>vegetation optical depth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region</w:t>
      </w:r>
      <w:r>
        <w:t xml:space="preserve">, </w:t>
      </w:r>
      <w:r>
        <w:rPr>
          <w:sz w:val="22"/>
        </w:rPr>
        <w:t>1</w:t>
      </w:r>
      <w:r>
        <w:t xml:space="preserve">, </w:t>
      </w:r>
      <w:r>
        <w:rPr>
          <w:sz w:val="22"/>
        </w:rPr>
        <w:t>1</w:t>
        <w:br/>
      </w:r>
      <w:r>
        <w:rPr>
          <w:sz w:val="22"/>
        </w:rPr>
        <w:t>Time：</w:t>
      </w:r>
      <w:r>
        <w:rPr>
          <w:sz w:val="22"/>
        </w:rPr>
        <w:t>2002-2021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3.Filesize：122.0MB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A. JONES   Lucas , S. KIMBALL   John , DU   Jinyang . LPDR Version 2 Vegetation Optical Depth Data Set in Southwest China (2002-2021). Upper Yangtze River Scientific Data Center, doi:http://dx.doi.org/10.5067/JIKQZ6WO5C5M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Du J, Jones L A, Kimball J S. Daily Global Land Parameters Derived from AMSR-E and AMSR2, Version 2[J]. 2017.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DU   Jinyang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S. KIMBALL   John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johnk@ntsg.umt.edu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A. JONES   Lucas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lucas@ntsg.umt.edu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