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Annual Dynamics and Long term Changes of 5km GLASS-GLC Land Cover in the Chengdu-Chongqing economic circle, China (1982-2015)</w:t>
      </w:r>
    </w:p>
    <w:p>
      <w:r>
        <w:rPr>
          <w:sz w:val="32"/>
        </w:rPr>
        <w:t>1、Description</w:t>
      </w:r>
    </w:p>
    <w:p>
      <w:pPr>
        <w:ind w:firstLine="432"/>
      </w:pPr>
      <w:r>
        <w:rPr>
          <w:sz w:val="22"/>
        </w:rPr>
        <w:t>As an important basic data for agricultural and forestry production, land policy, urban construction, flood resistance, fire prevention and infectious disease transmission simulation, GLASS-GLC will also serve the assessment, management and decision-making of ecology, resources and environment, and provide support for the realization of the United Nations sustainable development goals. The 5km GLASS land cover dataset is the first record of long-term land cover dynamics from 1982 to 2015. It is built using the latest version of GLASS (Global Land Satellite) CDRs (Climate Data Records) and generated on the Google Earth Engine (GEE) platform. The 34 year average overall precision of 7 categories including farmland, forest, grassland, shrub, tundra, wasteland and snow/ice is 82.81%.</w:t>
      </w:r>
    </w:p>
    <w:p>
      <w:r>
        <w:rPr>
          <w:sz w:val="32"/>
        </w:rPr>
        <w:t>2、Keywords</w:t>
      </w:r>
    </w:p>
    <w:p>
      <w:pPr>
        <w:ind w:left="432"/>
      </w:pPr>
      <w:r>
        <w:rPr>
          <w:sz w:val="22"/>
        </w:rPr>
        <w:t>Theme：</w:t>
      </w:r>
      <w:r>
        <w:rPr>
          <w:sz w:val="22"/>
        </w:rPr>
        <w:t>Land Use/Land Cover</w:t>
        <w:br/>
      </w:r>
      <w:r>
        <w:rPr>
          <w:sz w:val="22"/>
        </w:rPr>
        <w:t>Discipline：</w:t>
      </w:r>
      <w:r>
        <w:rPr>
          <w:sz w:val="22"/>
        </w:rPr>
        <w:t>Terrestrial Surface</w:t>
        <w:br/>
      </w:r>
      <w:r>
        <w:rPr>
          <w:sz w:val="22"/>
        </w:rPr>
        <w:t>Places：</w:t>
      </w:r>
      <w:r>
        <w:rPr>
          <w:sz w:val="22"/>
        </w:rPr>
        <w:t>the Chengdu-Chongqing economic circle</w:t>
        <w:br/>
      </w:r>
      <w:r>
        <w:rPr>
          <w:sz w:val="22"/>
        </w:rPr>
        <w:t>Time：</w:t>
      </w:r>
      <w:r>
        <w:rPr>
          <w:sz w:val="22"/>
        </w:rPr>
        <w:t>1</w:t>
      </w:r>
    </w:p>
    <w:p>
      <w:r>
        <w:rPr>
          <w:sz w:val="32"/>
        </w:rPr>
        <w:t>3、Data details</w:t>
      </w:r>
    </w:p>
    <w:p>
      <w:pPr>
        <w:ind w:left="432"/>
      </w:pPr>
      <w:r>
        <w:rPr>
          <w:sz w:val="22"/>
        </w:rPr>
        <w:t>1.Scale：None</w:t>
      </w:r>
    </w:p>
    <w:p>
      <w:pPr>
        <w:ind w:left="432"/>
      </w:pPr>
      <w:r>
        <w:rPr>
          <w:sz w:val="22"/>
        </w:rPr>
        <w:t>2.Projection：</w:t>
      </w:r>
    </w:p>
    <w:p>
      <w:pPr>
        <w:ind w:left="432"/>
      </w:pPr>
      <w:r>
        <w:rPr>
          <w:sz w:val="22"/>
        </w:rPr>
        <w:t>3.Filesize：0.15MB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west：101.0</w:t>
            </w:r>
          </w:p>
        </w:tc>
        <w:tc>
          <w:tcPr>
            <w:tcW w:type="dxa" w:w="2880"/>
          </w:tcPr>
          <w:p>
            <w:r>
              <w:t>-</w:t>
            </w:r>
          </w:p>
        </w:tc>
        <w:tc>
          <w:tcPr>
            <w:tcW w:type="dxa" w:w="2880"/>
          </w:tcPr>
          <w:p>
            <w:r>
              <w:t>east：109.0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1981-12-31 16:00:00+00:00</w:t>
      </w:r>
      <w:r>
        <w:rPr>
          <w:sz w:val="22"/>
        </w:rPr>
        <w:t>--</w:t>
      </w:r>
      <w:r>
        <w:rPr>
          <w:sz w:val="22"/>
        </w:rPr>
        <w:t>2015-12-31 03:59:59+00:00</w:t>
      </w:r>
    </w:p>
    <w:p>
      <w:r>
        <w:rPr>
          <w:sz w:val="32"/>
        </w:rPr>
        <w:t>6、Reference method</w:t>
      </w:r>
    </w:p>
    <w:p>
      <w:pPr>
        <w:ind w:left="432"/>
      </w:pPr>
      <w:r>
        <w:rPr>
          <w:sz w:val="22"/>
        </w:rPr>
        <w:t xml:space="preserve">References to data: </w:t>
      </w:r>
    </w:p>
    <w:p>
      <w:pPr>
        <w:ind w:left="432" w:firstLine="432"/>
      </w:pPr>
      <w:r>
        <w:t>LIU   Han . Annual Dynamics and Long term Changes of 5km GLASS-GLC Land Cover in the Chengdu-Chongqing economic circle, China (1982-2015). Upper Yangtze River Scientific Data Center, doi:10.1594/PANGAEA.913496</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LIU   Han </w:t>
        <w:br/>
      </w:r>
      <w:r>
        <w:rPr>
          <w:sz w:val="22"/>
        </w:rPr>
        <w:t xml:space="preserve">unit: </w:t>
      </w:r>
      <w:r>
        <w:rPr>
          <w:sz w:val="22"/>
        </w:rPr>
        <w:t>Tsinghua University</w:t>
        <w:br/>
      </w:r>
      <w:r>
        <w:rPr>
          <w:sz w:val="22"/>
        </w:rPr>
        <w:t xml:space="preserve">email: </w:t>
      </w:r>
      <w:r>
        <w:rPr>
          <w:sz w:val="22"/>
        </w:rPr>
        <w:t>liuhan18@mails.tsinghua.edu.cn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