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OCO2 in Southwest China_ L2_ Lite_ SIF fluorescence data set (2014-2022)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Version 10r is the current version of the dataset. The OCO-2 SIF Lite file contains deviation corrected sun induced chlorophyll fluorescence and other selection fields aggregated into a daily file. Orbital carbon observatory is the first mission of NASA, which aims to collect space-based atmospheric carbon dioxide measurements. Its accuracy, resolution and coverage are used to characterize the accuracy, resolution and coverage required to control its accumulation in the atmosphere. The OCO-2 project uses LEOStar-2 spacecraft with a single instrument. It consists of three high-resolution spectrometers, which can simultaneously measure the reflected sunlight in the near-infrared CO2 and molecular oxygen (O2) A-band of 0.76 μ m near 1.61 and 2.06 μ m. This collection includes the output of IMAP-DOAS preprocessor, which is used to screen official XCO2 products and retrieve solar induced fluorescence from 0.76 μ m O2 A-band. The IMAP-DOAS preprocessor, like the ABO2 cloud screen, is implemented in the OCO-2 processing pipeline.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2014-2022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3.Filesize：50.9MB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NASA   NASA . OCO2 in Southwest China_ L2_ Lite_ SIF fluorescence data set (2014-2022). Upper Yangtze River Scientific Data Center, doi:10.5067/XO2LBBNPO010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NASA   NASA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