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Spatial distribution dataset of tourism resources in Chongqing（2018）</w:t>
      </w:r>
    </w:p>
    <w:p>
      <w:r>
        <w:rPr>
          <w:sz w:val="32"/>
        </w:rPr>
        <w:t>1、Description</w:t>
      </w:r>
    </w:p>
    <w:p>
      <w:pPr>
        <w:ind w:firstLine="432"/>
      </w:pPr>
      <w:r>
        <w:rPr>
          <w:sz w:val="22"/>
        </w:rPr>
        <w:t>The data set: collect the sample data of Chongqing tourism resources from Qunar.com, Mafengwo and Ctrip. With the tourism resources shared by the three websites as the data processing conditions, 420 tourism resource sites in Chongqing finally met the conditions by merging, deleting duplicates, removing closed tourism resources and other methods. The coordinates of 420 tourism resources are batch converted into WGS84 coordinates through GeoSharp software coordinate conversion toolbox. Obtain the list of Grade A tourist attractions in Chongqing in 2018 through Chongqing Tourism Administration Network (deadline: December 31, 2018), collect the information of Grade A tourist attractions and their corresponding quality grades, compare and verify with all the tourist resource directories crawled, and enter the quality grade data into the attribute table in turn. The specific method refers to the literature "Research on the Spatial Distribution and Attraction Dislocation of Tourism Resources in Chongqing Based on POI Data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Chongqing</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3.Filesize：48.0MB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LIU   Chunxia . Spatial distribution dataset of tourism resources in Chongqing（2018）.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LIU   Chunxia </w:t>
        <w:br/>
      </w:r>
      <w:r>
        <w:rPr>
          <w:sz w:val="22"/>
        </w:rPr>
        <w:t xml:space="preserve">unit: </w:t>
      </w:r>
      <w:r>
        <w:rPr>
          <w:sz w:val="22"/>
        </w:rPr>
        <w:t>Chongqing Normal University</w:t>
        <w:br/>
      </w:r>
      <w:r>
        <w:rPr>
          <w:sz w:val="22"/>
        </w:rPr>
        <w:t xml:space="preserve">email: </w:t>
      </w:r>
      <w:r>
        <w:rPr>
          <w:sz w:val="22"/>
        </w:rPr>
        <w:t>liuchunxia@cqnu.edu.cn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