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中国长江上游地区及西南地区30米GLC_30土地覆盖数据（2015）</w:t>
      </w:r>
    </w:p>
    <w:p>
      <w:r>
        <w:rPr>
          <w:sz w:val="22"/>
        </w:rPr>
        <w:t>英文标题：30m-resolution GLC in the upper reaches of the Yangtze River and southwest China_ 30 Land cover data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改革开放以来，中国经济的快速发展对土地利用模式产生了深刻的影响。同时，中国又具有复杂的自然环境背景和广阔的陆地面积，其土地利用变化不仅对国家发展，还对全球环境变化产生了重要的影响。为了恢复和重建我国土地利用变化的现代过程，更好地预测、预报土地利用变化趋势，中国科学院在国家资源环境数据库基础上，以美国陆地卫星Landsat遥感影像数据作为主信息源，通过人工目视解译，建成了国家尺度1：10比例尺多时期土地利用/土地覆盖专题数据库。该数据集裁剪于2015年中国土地利用现状遥感监测数据库是以美国陆地卫星Landsat遥感影像作为主要信息源，通过人工目视解译构建的国家尺度1：10比例尺土地利用/土地覆盖专题数据库，精度为30米。数据采用二级分类系统，一级分为耕地、林地、草地、水域、建设用地和未利用土地6类，二级在一级类型基础上进一步分为25个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中国长江上游地区及西南地区30米GLC_30土地覆盖数据（2015）. 长江上游科学数据中心, DOI:10.12078/2018070201, CSTR:, </w:t>
      </w:r>
      <w:r>
        <w:t>2022</w:t>
      </w:r>
      <w:r>
        <w:t>.[</w:t>
      </w:r>
      <w:r>
        <w:t xml:space="preserve">XU Xinliang. 30m-resolution GLC in the upper reaches of the Yangtze River and southwest China_ 30 Land cover data (2015). Upper Yangtze River Scientific Data Center, DOI:10.12078/2018070201,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