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中国长江上游SCIAMACHY L2荧光数据集（2003-2012）</w:t>
      </w:r>
    </w:p>
    <w:p>
      <w:r>
        <w:rPr>
          <w:sz w:val="22"/>
        </w:rPr>
        <w:t>英文标题：SCIAMACHY L2 Fluorescence Data Set of the Upper Yangtze River in China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该数据集提供了中国长江上游的二级（L2）太阳诱导荧光（SIF）的叶绿素估计值，该估计值来自欧洲航天局（ESA）环境卫星（Envisat）上的Scanning Imaging Absorption spectroMeter for Atmospheric CartograpHY（SCIAMACHY）仪器，光谱分辨率约0.5纳米，波长在734-758纳米之间。提供了从2003-01-01到2012-04-08期间的数据。每个文件都包含每天的原始和偏差调整的太阳诱导荧光，以及质量控制信息和辅助数据。本数据集为740 nm处反演的SIF。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2003-01-01至2012-04-08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2012-04-08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Joanna Joiner, Yasuko Yoshida, Philipp Koehler, Christian Frankenberg, Nicholas C. Parazoo. 中国长江上游SCIAMACHY L2荧光数据集（2003-2012）. 长江上游科学数据中心, DOI:https://doi.org/10.3334/ORNLDAAC/1871, CSTR:, </w:t>
      </w:r>
      <w:r>
        <w:t>2022</w:t>
      </w:r>
      <w:r>
        <w:t>.[</w:t>
      </w:r>
      <w:r>
        <w:t xml:space="preserve">PARAZOO  C Nicholas , FRANKENBERG   Christian , KOEHLER   Philipp , JOINER   Joanna , YOSHIDA   Yasuko . SCIAMACHY L2 Fluorescence Data Set of the Upper Yangtze River in China (2003-2012). Upper Yangtze River Scientific Data Center, DOI:https://doi.org/10.3334/ORNLDAAC/1871,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Joanna Joiner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Yasuko Yoshida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Philipp Koehler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Nicholas C. Parazoo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