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长江上游科学数据中心</w:t>
      </w:r>
      <w:r>
        <w:rPr>
          <w:sz w:val="21"/>
        </w:rPr>
      </w:r>
    </w:p>
    <w:p>
      <w:pPr>
        <w:jc w:val="center"/>
      </w:pPr>
      <w:r>
        <w:rPr>
          <w:b/>
          <w:sz w:val="32"/>
        </w:rPr>
        <w:t>中国长江上游100m CGLS动态土地覆盖数据 (2015-2019)</w:t>
      </w:r>
    </w:p>
    <w:p>
      <w:r>
        <w:rPr>
          <w:sz w:val="22"/>
        </w:rPr>
        <w:t>英文标题：Dynamic land cover data of CGLS 100m in the upper reaches of Yangtze River in China (2015-2019)</w:t>
      </w:r>
    </w:p>
    <w:p>
      <w:r>
        <w:rPr>
          <w:sz w:val="32"/>
        </w:rPr>
        <w:t>1、摘要</w:t>
      </w:r>
    </w:p>
    <w:p>
      <w:pPr>
        <w:ind w:firstLine="432"/>
      </w:pPr>
      <w:r>
        <w:rPr>
          <w:sz w:val="22"/>
        </w:rPr>
        <w:t>科佩尼库斯全球陆地服务( CGLS )被指定为陆地服务的一个组成部分，运营一个多用途服务组件，在全球范围内提供一系列关于陆地表面状态和演变的生物地球物理产品。</w:t>
        <w:br/>
        <w:t>CGLS-LC100 ( Dynamic Land Cover Map at 100 m Resolution )是CGLS产品组合中的新产品，提供了100 m空间分辨率的全球土地覆盖图。CGLS土地覆盖产品提供了一个初步的土地覆盖方案。除这些离散的类别外，该产品还包括所有基本土地覆盖类别的连续字段层，为土地覆盖类型提供植被/地表覆盖的比例估计。这种连续的分类方案可能比标准分类方案更好地描述异质性土地覆盖的区域，因此，可以为应用定制(例如森林监测、作物监测、生物多样性与保护、非洲环境与安全监测、气候模拟等)。</w:t>
        <w:br/>
        <w:t>这些一致的土地覆盖图(v3.0.1)提供了整个全球范围内2015-2019年的土地覆盖图，来源于PROBA-V100m时间序列、高质量土地覆盖训练场地数据库和若干辅助数据集，历年在Level1达到80 %的精度。计划从2020年起通过使用Sentinel时间序列提供年度更新。</w:t>
      </w:r>
    </w:p>
    <w:p>
      <w:r>
        <w:rPr>
          <w:sz w:val="32"/>
        </w:rPr>
        <w:t>2、关键词</w:t>
      </w:r>
    </w:p>
    <w:p>
      <w:pPr>
        <w:ind w:left="432"/>
      </w:pPr>
      <w:r>
        <w:rPr>
          <w:sz w:val="22"/>
        </w:rPr>
        <w:t>主题关键词：</w:t>
      </w:r>
      <w:r>
        <w:rPr>
          <w:sz w:val="22"/>
        </w:rPr>
        <w:t>土地利用/覆盖</w:t>
        <w:br/>
      </w:r>
      <w:r>
        <w:rPr>
          <w:sz w:val="22"/>
        </w:rPr>
        <w:t>学科关键词：</w:t>
      </w:r>
      <w:r>
        <w:rPr>
          <w:sz w:val="22"/>
        </w:rPr>
        <w:t>陆地表层</w:t>
        <w:br/>
      </w:r>
      <w:r>
        <w:rPr>
          <w:sz w:val="22"/>
        </w:rPr>
        <w:t>地点关键词：</w:t>
      </w:r>
      <w:r>
        <w:rPr>
          <w:sz w:val="22"/>
        </w:rPr>
        <w:t>中国长江上游</w:t>
        <w:br/>
      </w:r>
      <w:r>
        <w:rPr>
          <w:sz w:val="22"/>
        </w:rPr>
        <w:t>时间关键词：</w:t>
      </w:r>
      <w:r>
        <w:rPr>
          <w:sz w:val="22"/>
        </w:rPr>
        <w:t>2015-2019</w:t>
      </w:r>
    </w:p>
    <w:p>
      <w:r>
        <w:rPr>
          <w:sz w:val="32"/>
        </w:rPr>
        <w:t>3、数据细节</w:t>
      </w:r>
    </w:p>
    <w:p>
      <w:pPr>
        <w:ind w:left="432"/>
      </w:pPr>
      <w:r>
        <w:rPr>
          <w:sz w:val="22"/>
        </w:rPr>
        <w:t>1.比例尺：None</w:t>
      </w:r>
    </w:p>
    <w:p>
      <w:pPr>
        <w:ind w:left="432"/>
      </w:pPr>
      <w:r>
        <w:rPr>
          <w:sz w:val="22"/>
        </w:rPr>
        <w:t>2.投影：</w:t>
      </w:r>
    </w:p>
    <w:p>
      <w:pPr>
        <w:ind w:left="432"/>
      </w:pPr>
      <w:r>
        <w:rPr>
          <w:sz w:val="22"/>
        </w:rPr>
        <w:t>3.文件大小：253.0MB</w:t>
      </w:r>
    </w:p>
    <w:p>
      <w:pPr>
        <w:ind w:left="432"/>
      </w:pPr>
      <w:r>
        <w:rPr>
          <w:sz w:val="22"/>
        </w:rPr>
        <w:t>4.数据格式：None</w:t>
      </w:r>
    </w:p>
    <w:p>
      <w:r>
        <w:rPr>
          <w:sz w:val="32"/>
        </w:rPr>
        <w:t>4、空间范围</w:t>
      </w:r>
    </w:p>
    <w:tbl>
      <w:tblPr>
        <w:tblW w:type="auto" w:w="0"/>
        <w:jc w:val="center"/>
        <w:tblLook w:firstColumn="1" w:firstRow="1" w:lastColumn="0" w:lastRow="0" w:noHBand="0" w:noVBand="1" w:val="04A0"/>
      </w:tblPr>
      <w:tblGrid>
        <w:gridCol w:w="1440"/>
        <w:gridCol w:w="1440"/>
        <w:gridCol w:w="1440"/>
      </w:tblGrid>
      <w:tr>
        <w:tc>
          <w:tcPr>
            <w:tcW w:type="dxa" w:w="2880"/>
          </w:tcPr>
          <w:p>
            <w:r>
              <w:t>-</w:t>
            </w:r>
          </w:p>
        </w:tc>
        <w:tc>
          <w:tcPr>
            <w:tcW w:type="dxa" w:w="2880"/>
          </w:tcPr>
          <w:p>
            <w:r>
              <w:t>北：36.5</w:t>
            </w:r>
          </w:p>
        </w:tc>
        <w:tc>
          <w:tcPr>
            <w:tcW w:type="dxa" w:w="2880"/>
          </w:tcPr>
          <w:p>
            <w:r>
              <w:t>-</w:t>
            </w:r>
          </w:p>
        </w:tc>
      </w:tr>
      <w:tr>
        <w:tc>
          <w:tcPr>
            <w:tcW w:type="dxa" w:w="2880"/>
          </w:tcPr>
          <w:p>
            <w:r>
              <w:t>西：89.0</w:t>
            </w:r>
          </w:p>
        </w:tc>
        <w:tc>
          <w:tcPr>
            <w:tcW w:type="dxa" w:w="2880"/>
          </w:tcPr>
          <w:p>
            <w:r>
              <w:t>-</w:t>
            </w:r>
          </w:p>
        </w:tc>
        <w:tc>
          <w:tcPr>
            <w:tcW w:type="dxa" w:w="2880"/>
          </w:tcPr>
          <w:p>
            <w:r>
              <w:t>东：112.5</w:t>
            </w:r>
          </w:p>
        </w:tc>
      </w:tr>
      <w:tr>
        <w:tc>
          <w:tcPr>
            <w:tcW w:type="dxa" w:w="2880"/>
          </w:tcPr>
          <w:p>
            <w:r>
              <w:t>-</w:t>
            </w:r>
          </w:p>
        </w:tc>
        <w:tc>
          <w:tcPr>
            <w:tcW w:type="dxa" w:w="2880"/>
          </w:tcPr>
          <w:p>
            <w:r>
              <w:t>南：20.5</w:t>
            </w:r>
          </w:p>
        </w:tc>
        <w:tc>
          <w:tcPr>
            <w:tcW w:type="dxa" w:w="2880"/>
          </w:tcPr>
          <w:p>
            <w:r>
              <w:t>-</w:t>
            </w:r>
          </w:p>
        </w:tc>
      </w:tr>
    </w:tbl>
    <w:p>
      <w:r>
        <w:rPr>
          <w:sz w:val="32"/>
        </w:rPr>
        <w:t>5、时间范围</w:t>
      </w:r>
      <w:r>
        <w:rPr>
          <w:sz w:val="22"/>
        </w:rPr>
        <w:t>2014-12-31 16:00:00+00:00</w:t>
      </w:r>
      <w:r>
        <w:rPr>
          <w:sz w:val="22"/>
        </w:rPr>
        <w:t>--</w:t>
      </w:r>
      <w:r>
        <w:rPr>
          <w:sz w:val="22"/>
        </w:rPr>
        <w:t>2019-12-30 16:00:00+00:00</w:t>
      </w:r>
    </w:p>
    <w:p>
      <w:r>
        <w:rPr>
          <w:sz w:val="32"/>
        </w:rPr>
        <w:t>6、引用方式</w:t>
      </w:r>
    </w:p>
    <w:p>
      <w:pPr>
        <w:ind w:left="432"/>
      </w:pPr>
      <w:r>
        <w:rPr>
          <w:sz w:val="22"/>
        </w:rPr>
        <w:t xml:space="preserve">数据的引用: </w:t>
      </w:r>
    </w:p>
    <w:p>
      <w:pPr>
        <w:ind w:left="432" w:firstLine="432"/>
      </w:pPr>
      <w:r>
        <w:t xml:space="preserve">Marcel Buchhorn. 中国长江上游100m CGLS动态土地覆盖数据 (2015-2019). 长江上游科学数据中心, DOI:https://doi.org/10.5281/zenodo.3938963, CSTR:, </w:t>
      </w:r>
      <w:r>
        <w:t>2022</w:t>
      </w:r>
      <w:r>
        <w:t>.[</w:t>
      </w:r>
      <w:r>
        <w:t xml:space="preserve">BUCHHORN   Marcel . Dynamic land cover data of CGLS 100m in the upper reaches of Yangtze River in China (2015-2019). Upper Yangtze River Scientific Data Center, DOI:https://doi.org/10.5281/zenodo.3938963, CSTR:, </w:t>
      </w:r>
      <w:r>
        <w:t>2022</w:t>
      </w:r>
      <w:r>
        <w:rPr>
          <w:sz w:val="22"/>
        </w:rPr>
        <w:t>]</w:t>
      </w:r>
    </w:p>
    <w:p>
      <w:pPr>
        <w:ind w:left="432"/>
      </w:pPr>
      <w:r>
        <w:rPr>
          <w:sz w:val="22"/>
        </w:rPr>
        <w:t xml:space="preserve">文章的引用: </w:t>
      </w:r>
    </w:p>
    <w:p>
      <w:pPr>
        <w:ind w:left="864"/>
      </w:pPr>
    </w:p>
    <w:p>
      <w:r>
        <w:rPr>
          <w:sz w:val="32"/>
        </w:rPr>
        <w:t>7、资助项目信息</w:t>
      </w:r>
    </w:p>
    <w:p>
      <w:r>
        <w:rPr>
          <w:sz w:val="32"/>
        </w:rPr>
        <w:t>8、数据资源提供者</w:t>
      </w:r>
    </w:p>
    <w:p>
      <w:pPr>
        <w:ind w:left="432"/>
      </w:pPr>
      <w:r>
        <w:rPr>
          <w:sz w:val="22"/>
        </w:rPr>
        <w:t xml:space="preserve">姓名: </w:t>
      </w:r>
      <w:r>
        <w:rPr>
          <w:sz w:val="22"/>
        </w:rPr>
        <w:t>Marcel Buchhorn</w:t>
        <w:br/>
      </w:r>
      <w:r>
        <w:rPr>
          <w:sz w:val="22"/>
        </w:rPr>
        <w:t xml:space="preserve">单位: </w:t>
      </w:r>
      <w:r>
        <w:rPr>
          <w:sz w:val="22"/>
        </w:rPr>
        <w:t>弗拉芒技术研究所NV</w:t>
        <w:br/>
      </w:r>
      <w:r>
        <w:rPr>
          <w:sz w:val="22"/>
        </w:rPr>
        <w:t xml:space="preserve">电子邮件: </w:t>
      </w:r>
      <w:r>
        <w:rPr>
          <w:sz w:val="22"/>
        </w:rPr>
        <w:t>marcel.buchhorn@vito.be</w:t>
        <w:br/>
        <w:b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